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Default="00D403F4" w:rsidP="00D403F4">
      <w:pPr>
        <w:ind w:right="260"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Приборы газовые сорбционные для обогрева и/или охлаждения с номинальной тепловой мощностью до 70 кВт</w:t>
      </w:r>
    </w:p>
    <w:p w:rsidR="00D403F4" w:rsidRDefault="00D403F4" w:rsidP="00D403F4">
      <w:pPr>
        <w:ind w:right="260" w:firstLine="0"/>
        <w:jc w:val="center"/>
        <w:rPr>
          <w:b/>
          <w:sz w:val="24"/>
          <w:szCs w:val="24"/>
        </w:rPr>
      </w:pPr>
    </w:p>
    <w:p w:rsidR="00D403F4" w:rsidRPr="003F68D8" w:rsidRDefault="00D403F4" w:rsidP="00D403F4">
      <w:pPr>
        <w:ind w:right="26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</w:t>
      </w:r>
      <w:r w:rsidRPr="003F68D8">
        <w:rPr>
          <w:b/>
          <w:sz w:val="24"/>
          <w:szCs w:val="24"/>
        </w:rPr>
        <w:t xml:space="preserve"> </w:t>
      </w:r>
      <w:r w:rsidR="004D0770" w:rsidRPr="003F68D8">
        <w:rPr>
          <w:b/>
          <w:sz w:val="24"/>
          <w:szCs w:val="24"/>
        </w:rPr>
        <w:t>6</w:t>
      </w:r>
    </w:p>
    <w:p w:rsidR="00D403F4" w:rsidRPr="003F68D8" w:rsidRDefault="00D403F4" w:rsidP="00D403F4">
      <w:pPr>
        <w:ind w:right="260" w:firstLine="0"/>
        <w:jc w:val="center"/>
        <w:rPr>
          <w:b/>
          <w:sz w:val="24"/>
          <w:szCs w:val="24"/>
        </w:rPr>
      </w:pPr>
    </w:p>
    <w:p w:rsidR="00D403F4" w:rsidRPr="003F68D8" w:rsidRDefault="004D0770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</w:rPr>
      </w:pPr>
      <w:r w:rsidRPr="004D0770">
        <w:rPr>
          <w:b/>
          <w:sz w:val="24"/>
          <w:szCs w:val="24"/>
        </w:rPr>
        <w:t>РАСЧЕТ</w:t>
      </w:r>
      <w:r w:rsidRPr="003F68D8">
        <w:rPr>
          <w:b/>
          <w:sz w:val="24"/>
          <w:szCs w:val="24"/>
        </w:rPr>
        <w:t xml:space="preserve"> </w:t>
      </w:r>
      <w:r w:rsidRPr="004D0770">
        <w:rPr>
          <w:b/>
          <w:sz w:val="24"/>
          <w:szCs w:val="24"/>
        </w:rPr>
        <w:t>СЕЗОННЫХ</w:t>
      </w:r>
      <w:r w:rsidRPr="003F68D8">
        <w:rPr>
          <w:b/>
          <w:sz w:val="24"/>
          <w:szCs w:val="24"/>
        </w:rPr>
        <w:t xml:space="preserve"> </w:t>
      </w:r>
      <w:r w:rsidRPr="004D0770">
        <w:rPr>
          <w:b/>
          <w:sz w:val="24"/>
          <w:szCs w:val="24"/>
        </w:rPr>
        <w:t>ЭКСПЛУАТАЦИОННЫХ</w:t>
      </w:r>
      <w:r w:rsidRPr="003F68D8">
        <w:rPr>
          <w:b/>
          <w:sz w:val="24"/>
          <w:szCs w:val="24"/>
        </w:rPr>
        <w:t xml:space="preserve"> </w:t>
      </w:r>
      <w:r w:rsidRPr="004D0770">
        <w:rPr>
          <w:b/>
          <w:sz w:val="24"/>
          <w:szCs w:val="24"/>
        </w:rPr>
        <w:t>ПОКАЗАТЕЛЕЙ</w:t>
      </w:r>
    </w:p>
    <w:p w:rsidR="00D403F4" w:rsidRPr="003F68D8" w:rsidRDefault="00D403F4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</w:rPr>
      </w:pPr>
    </w:p>
    <w:p w:rsidR="00D403F4" w:rsidRPr="003F68D8" w:rsidRDefault="00D403F4" w:rsidP="00D403F4">
      <w:pPr>
        <w:ind w:firstLine="0"/>
        <w:jc w:val="center"/>
        <w:rPr>
          <w:b/>
          <w:sz w:val="24"/>
          <w:szCs w:val="24"/>
        </w:rPr>
      </w:pPr>
      <w:proofErr w:type="gramStart"/>
      <w:r w:rsidRPr="00D403F4">
        <w:rPr>
          <w:b/>
          <w:sz w:val="24"/>
          <w:szCs w:val="24"/>
        </w:rPr>
        <w:t>СТ</w:t>
      </w:r>
      <w:proofErr w:type="gramEnd"/>
      <w:r w:rsidRPr="003F68D8">
        <w:rPr>
          <w:b/>
          <w:sz w:val="24"/>
          <w:szCs w:val="24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3F68D8">
        <w:rPr>
          <w:b/>
          <w:sz w:val="24"/>
          <w:szCs w:val="24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3F68D8">
        <w:rPr>
          <w:b/>
          <w:sz w:val="24"/>
          <w:szCs w:val="24"/>
        </w:rPr>
        <w:t xml:space="preserve"> 12309-</w:t>
      </w:r>
      <w:r w:rsidR="004D0770" w:rsidRPr="003F68D8">
        <w:rPr>
          <w:b/>
          <w:sz w:val="24"/>
          <w:szCs w:val="24"/>
        </w:rPr>
        <w:t>6</w:t>
      </w:r>
    </w:p>
    <w:p w:rsidR="00D403F4" w:rsidRPr="003F68D8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3F68D8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3F68D8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  <w:lang w:val="en-US"/>
        </w:rPr>
      </w:pPr>
      <w:r w:rsidRPr="00D403F4">
        <w:rPr>
          <w:i/>
          <w:sz w:val="24"/>
          <w:szCs w:val="24"/>
          <w:lang w:val="en-US"/>
        </w:rPr>
        <w:t>(EN 12309-</w:t>
      </w:r>
      <w:r w:rsidR="004D0770" w:rsidRPr="004D0770">
        <w:rPr>
          <w:i/>
          <w:sz w:val="24"/>
          <w:szCs w:val="24"/>
          <w:lang w:val="en-US"/>
        </w:rPr>
        <w:t>6</w:t>
      </w:r>
      <w:r w:rsidRPr="00D403F4">
        <w:rPr>
          <w:i/>
          <w:sz w:val="24"/>
          <w:szCs w:val="24"/>
          <w:lang w:val="en-US"/>
        </w:rPr>
        <w:t xml:space="preserve">:2014 </w:t>
      </w:r>
      <w:r w:rsidR="004D0770" w:rsidRPr="004D0770">
        <w:rPr>
          <w:i/>
          <w:sz w:val="24"/>
          <w:szCs w:val="24"/>
          <w:lang w:val="en-US"/>
        </w:rPr>
        <w:t>Gas-fired sorption appliances for heating and/or cooling with a net heat input not exceeding 70 kW - Part 6: Calculation of seasonal performances</w:t>
      </w:r>
      <w:r w:rsidRPr="00D403F4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</w:rPr>
      </w:pPr>
      <w:r w:rsidRPr="00D403F4">
        <w:rPr>
          <w:i/>
          <w:sz w:val="24"/>
          <w:szCs w:val="24"/>
        </w:rPr>
        <w:t>Настоящий проект стандарта</w:t>
      </w: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</w:rPr>
      </w:pPr>
      <w:r w:rsidRPr="00D403F4">
        <w:rPr>
          <w:i/>
          <w:sz w:val="24"/>
          <w:szCs w:val="24"/>
        </w:rPr>
        <w:t>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Настоящий национальный стандарт является идентичным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 xml:space="preserve">осуществлением европейского стандарта </w:t>
      </w:r>
      <w:r w:rsidR="004F0251" w:rsidRPr="004F0251">
        <w:rPr>
          <w:sz w:val="24"/>
          <w:szCs w:val="24"/>
        </w:rPr>
        <w:t>EN 12309-6:2014</w:t>
      </w:r>
      <w:r w:rsidR="004F0251">
        <w:rPr>
          <w:sz w:val="24"/>
          <w:szCs w:val="24"/>
        </w:rPr>
        <w:t xml:space="preserve"> </w:t>
      </w:r>
      <w:r w:rsidRPr="00D403F4">
        <w:rPr>
          <w:sz w:val="24"/>
          <w:szCs w:val="24"/>
        </w:rPr>
        <w:t xml:space="preserve">и </w:t>
      </w:r>
      <w:proofErr w:type="gramStart"/>
      <w:r w:rsidRPr="00D403F4">
        <w:rPr>
          <w:sz w:val="24"/>
          <w:szCs w:val="24"/>
        </w:rPr>
        <w:t>принят</w:t>
      </w:r>
      <w:proofErr w:type="gramEnd"/>
      <w:r w:rsidRPr="00D403F4">
        <w:rPr>
          <w:sz w:val="24"/>
          <w:szCs w:val="24"/>
        </w:rPr>
        <w:t xml:space="preserve"> с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D403F4">
        <w:rPr>
          <w:sz w:val="24"/>
          <w:szCs w:val="24"/>
        </w:rPr>
        <w:t>Марникс</w:t>
      </w:r>
      <w:proofErr w:type="spellEnd"/>
      <w:r w:rsidRPr="00D403F4">
        <w:rPr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D403F4" w:rsidRPr="00D403F4" w:rsidSect="00D50E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D403F4">
        <w:rPr>
          <w:b/>
          <w:sz w:val="24"/>
          <w:szCs w:val="24"/>
          <w:lang w:val="kk-KZ"/>
        </w:rPr>
        <w:t>Нур-Султан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Pr="00D403F4">
        <w:rPr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стандарт идентичен европейскому стандарту EN </w:t>
      </w:r>
      <w:r>
        <w:rPr>
          <w:sz w:val="24"/>
          <w:szCs w:val="24"/>
          <w:lang w:val="kk-KZ"/>
        </w:rPr>
        <w:t>12309-</w:t>
      </w:r>
      <w:r w:rsidR="004D0770">
        <w:rPr>
          <w:sz w:val="24"/>
          <w:szCs w:val="24"/>
          <w:lang w:val="kk-KZ"/>
        </w:rPr>
        <w:t>6</w:t>
      </w:r>
      <w:r w:rsidRPr="00D403F4">
        <w:rPr>
          <w:sz w:val="24"/>
          <w:szCs w:val="24"/>
          <w:lang w:val="kk-KZ"/>
        </w:rPr>
        <w:t>:201</w:t>
      </w:r>
      <w:r>
        <w:rPr>
          <w:sz w:val="24"/>
          <w:szCs w:val="24"/>
          <w:lang w:val="kk-KZ"/>
        </w:rPr>
        <w:t>4</w:t>
      </w:r>
      <w:r w:rsidRPr="00D403F4">
        <w:rPr>
          <w:sz w:val="24"/>
          <w:szCs w:val="24"/>
          <w:lang w:val="kk-KZ"/>
        </w:rPr>
        <w:t xml:space="preserve"> </w:t>
      </w:r>
      <w:r w:rsidR="004D0770" w:rsidRPr="004D0770">
        <w:rPr>
          <w:sz w:val="24"/>
          <w:szCs w:val="24"/>
          <w:lang w:val="kk-KZ"/>
        </w:rPr>
        <w:t>Gas-fired sorption appliances for heating and/or cooling with a net heat input not exceeding 70 kW - Part 6: Calculation of seasonal performances</w:t>
      </w:r>
      <w:r w:rsidRPr="00D403F4">
        <w:rPr>
          <w:sz w:val="24"/>
          <w:szCs w:val="24"/>
          <w:lang w:val="kk-KZ"/>
        </w:rPr>
        <w:t xml:space="preserve"> (Приборы газовые сорбционные для обогрева и/или охлаждения с номинальной тепловой мощностью до 70 кВт. Часть </w:t>
      </w:r>
      <w:r w:rsidR="004D0770">
        <w:rPr>
          <w:sz w:val="24"/>
          <w:szCs w:val="24"/>
          <w:lang w:val="kk-KZ"/>
        </w:rPr>
        <w:t>6</w:t>
      </w:r>
      <w:r w:rsidRPr="00D403F4">
        <w:rPr>
          <w:sz w:val="24"/>
          <w:szCs w:val="24"/>
          <w:lang w:val="kk-KZ"/>
        </w:rPr>
        <w:t xml:space="preserve">. </w:t>
      </w:r>
      <w:r w:rsidR="004D0770" w:rsidRPr="004D0770">
        <w:rPr>
          <w:sz w:val="24"/>
          <w:szCs w:val="24"/>
          <w:lang w:val="kk-KZ"/>
        </w:rPr>
        <w:t>Расчет сезонных эксплуатационных показателей</w:t>
      </w:r>
      <w:r w:rsidRPr="00D403F4">
        <w:rPr>
          <w:sz w:val="24"/>
          <w:szCs w:val="24"/>
          <w:lang w:val="kk-KZ"/>
        </w:rPr>
        <w:t>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Европейский стандарт EN </w:t>
      </w:r>
      <w:r>
        <w:rPr>
          <w:sz w:val="24"/>
          <w:szCs w:val="24"/>
          <w:lang w:val="kk-KZ"/>
        </w:rPr>
        <w:t>12309-</w:t>
      </w:r>
      <w:r w:rsidR="004D0770">
        <w:rPr>
          <w:sz w:val="24"/>
          <w:szCs w:val="24"/>
          <w:lang w:val="kk-KZ"/>
        </w:rPr>
        <w:t>6</w:t>
      </w:r>
      <w:r w:rsidRPr="00D403F4">
        <w:rPr>
          <w:sz w:val="24"/>
          <w:szCs w:val="24"/>
          <w:lang w:val="kk-KZ"/>
        </w:rPr>
        <w:t>:201</w:t>
      </w:r>
      <w:r>
        <w:rPr>
          <w:sz w:val="24"/>
          <w:szCs w:val="24"/>
          <w:lang w:val="kk-KZ"/>
        </w:rPr>
        <w:t>4</w:t>
      </w:r>
      <w:r w:rsidRPr="00D403F4">
        <w:rPr>
          <w:sz w:val="24"/>
          <w:szCs w:val="24"/>
          <w:lang w:val="kk-KZ"/>
        </w:rPr>
        <w:t xml:space="preserve"> разработан Техническим комитетом CEN/TC </w:t>
      </w:r>
      <w:r>
        <w:rPr>
          <w:sz w:val="24"/>
          <w:szCs w:val="24"/>
          <w:lang w:val="kk-KZ"/>
        </w:rPr>
        <w:t>299</w:t>
      </w:r>
      <w:r w:rsidRPr="00D403F4">
        <w:rPr>
          <w:sz w:val="24"/>
          <w:szCs w:val="24"/>
          <w:lang w:val="kk-KZ"/>
        </w:rPr>
        <w:t xml:space="preserve"> «Газовые сорбционные аппараты, косвенные сорбционные аппараты, газовые эндотермические тепловые насосы и бытовые газовые моечные и сушильные аппараты».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4 </w:t>
      </w:r>
      <w:r w:rsidRPr="00D403F4">
        <w:rPr>
          <w:sz w:val="24"/>
          <w:szCs w:val="24"/>
          <w:lang w:val="kk-KZ"/>
        </w:rPr>
        <w:t>В настоящем стандарте реализованы нормы Закона Республики Казахстан «О стандартизации» от 5 октября 2018 года № 183-VІ ЗРК.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0" w:name="_Toc494286439"/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</w:t>
      </w:r>
      <w:r w:rsidR="00333DAD">
        <w:rPr>
          <w:bCs/>
          <w:i/>
          <w:sz w:val="24"/>
          <w:szCs w:val="24"/>
          <w:lang w:val="kk-KZ"/>
        </w:rPr>
        <w:t xml:space="preserve">в периодически издаваемом информационном указателе </w:t>
      </w:r>
      <w:bookmarkStart w:id="1" w:name="_GoBack"/>
      <w:bookmarkEnd w:id="1"/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4D0770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0F48E8" w:rsidRDefault="000F48E8" w:rsidP="00C367AA">
      <w:pPr>
        <w:shd w:val="clear" w:color="auto" w:fill="FFFFFF"/>
        <w:ind w:firstLine="0"/>
        <w:jc w:val="center"/>
        <w:outlineLvl w:val="0"/>
        <w:rPr>
          <w:sz w:val="24"/>
          <w:szCs w:val="24"/>
        </w:rPr>
      </w:pPr>
    </w:p>
    <w:p w:rsidR="003F68D8" w:rsidRDefault="003F68D8" w:rsidP="00C367AA">
      <w:pPr>
        <w:shd w:val="clear" w:color="auto" w:fill="FFFFFF"/>
        <w:ind w:firstLine="0"/>
        <w:jc w:val="center"/>
        <w:outlineLvl w:val="0"/>
        <w:rPr>
          <w:sz w:val="24"/>
          <w:szCs w:val="24"/>
        </w:rPr>
      </w:pPr>
    </w:p>
    <w:p w:rsidR="003F68D8" w:rsidRDefault="003F68D8" w:rsidP="00C367AA">
      <w:pP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3F68D8">
        <w:rPr>
          <w:b/>
          <w:sz w:val="24"/>
          <w:szCs w:val="24"/>
        </w:rPr>
        <w:lastRenderedPageBreak/>
        <w:t>Содержание</w:t>
      </w:r>
    </w:p>
    <w:p w:rsidR="003F68D8" w:rsidRDefault="003F68D8" w:rsidP="00C367AA">
      <w:pP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957"/>
      </w:tblGrid>
      <w:tr w:rsidR="003F68D8" w:rsidTr="00F90BD0">
        <w:tc>
          <w:tcPr>
            <w:tcW w:w="675" w:type="dxa"/>
          </w:tcPr>
          <w:p w:rsidR="003F68D8" w:rsidRPr="003F68D8" w:rsidRDefault="003F68D8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3F68D8" w:rsidRPr="003F68D8" w:rsidRDefault="003F68D8" w:rsidP="003F68D8">
            <w:pPr>
              <w:ind w:firstLine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F68D8">
              <w:rPr>
                <w:sz w:val="24"/>
                <w:szCs w:val="24"/>
              </w:rPr>
              <w:t>бласть применения</w:t>
            </w:r>
          </w:p>
        </w:tc>
        <w:tc>
          <w:tcPr>
            <w:tcW w:w="957" w:type="dxa"/>
          </w:tcPr>
          <w:p w:rsidR="003F68D8" w:rsidRPr="00532A3D" w:rsidRDefault="003F68D8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1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3F68D8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1.1</w:t>
            </w:r>
          </w:p>
        </w:tc>
        <w:tc>
          <w:tcPr>
            <w:tcW w:w="7938" w:type="dxa"/>
          </w:tcPr>
          <w:p w:rsidR="003F68D8" w:rsidRPr="003F68D8" w:rsidRDefault="003F68D8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Область применения EN 12309</w:t>
            </w:r>
          </w:p>
        </w:tc>
        <w:tc>
          <w:tcPr>
            <w:tcW w:w="957" w:type="dxa"/>
          </w:tcPr>
          <w:p w:rsidR="003F68D8" w:rsidRPr="00532A3D" w:rsidRDefault="003F68D8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1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3F68D8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1.2</w:t>
            </w:r>
          </w:p>
        </w:tc>
        <w:tc>
          <w:tcPr>
            <w:tcW w:w="7938" w:type="dxa"/>
          </w:tcPr>
          <w:p w:rsidR="003F68D8" w:rsidRPr="003F68D8" w:rsidRDefault="003F68D8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Область применения Части 6 EN 12309</w:t>
            </w:r>
          </w:p>
        </w:tc>
        <w:tc>
          <w:tcPr>
            <w:tcW w:w="957" w:type="dxa"/>
          </w:tcPr>
          <w:p w:rsidR="003F68D8" w:rsidRPr="00532A3D" w:rsidRDefault="003F68D8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1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3F68D8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3F68D8" w:rsidRPr="003F68D8" w:rsidRDefault="003F68D8" w:rsidP="003F68D8">
            <w:pPr>
              <w:ind w:firstLine="0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Нормативные ссылки</w:t>
            </w:r>
          </w:p>
        </w:tc>
        <w:tc>
          <w:tcPr>
            <w:tcW w:w="957" w:type="dxa"/>
          </w:tcPr>
          <w:p w:rsidR="003F68D8" w:rsidRPr="00532A3D" w:rsidRDefault="003F68D8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2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3F68D8" w:rsidRPr="003F68D8" w:rsidRDefault="003F68D8" w:rsidP="003F68D8">
            <w:pPr>
              <w:ind w:firstLine="0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Термины и определения</w:t>
            </w:r>
          </w:p>
        </w:tc>
        <w:tc>
          <w:tcPr>
            <w:tcW w:w="957" w:type="dxa"/>
          </w:tcPr>
          <w:p w:rsidR="003F68D8" w:rsidRPr="00532A3D" w:rsidRDefault="003F68D8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2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3F68D8" w:rsidRPr="003F68D8" w:rsidRDefault="003F68D8" w:rsidP="003F68D8">
            <w:pPr>
              <w:ind w:firstLine="0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Методы расчета SGUE и SAEF в режиме охлаждения</w:t>
            </w:r>
          </w:p>
        </w:tc>
        <w:tc>
          <w:tcPr>
            <w:tcW w:w="957" w:type="dxa"/>
          </w:tcPr>
          <w:p w:rsidR="003F68D8" w:rsidRPr="00532A3D" w:rsidRDefault="003F68D8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2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4.1</w:t>
            </w:r>
          </w:p>
        </w:tc>
        <w:tc>
          <w:tcPr>
            <w:tcW w:w="7938" w:type="dxa"/>
          </w:tcPr>
          <w:p w:rsidR="003F68D8" w:rsidRPr="003F68D8" w:rsidRDefault="003F68D8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Общие положения</w:t>
            </w:r>
          </w:p>
        </w:tc>
        <w:tc>
          <w:tcPr>
            <w:tcW w:w="957" w:type="dxa"/>
          </w:tcPr>
          <w:p w:rsidR="003F68D8" w:rsidRPr="00532A3D" w:rsidRDefault="003F68D8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2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4.2</w:t>
            </w:r>
          </w:p>
        </w:tc>
        <w:tc>
          <w:tcPr>
            <w:tcW w:w="7938" w:type="dxa"/>
          </w:tcPr>
          <w:p w:rsidR="003F68D8" w:rsidRPr="003F68D8" w:rsidRDefault="003F68D8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3F68D8">
              <w:rPr>
                <w:sz w:val="24"/>
                <w:szCs w:val="24"/>
              </w:rPr>
              <w:t>Условия работы при частичной нагрузке</w:t>
            </w:r>
          </w:p>
        </w:tc>
        <w:tc>
          <w:tcPr>
            <w:tcW w:w="957" w:type="dxa"/>
          </w:tcPr>
          <w:p w:rsidR="003F68D8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532A3D">
              <w:rPr>
                <w:sz w:val="24"/>
                <w:szCs w:val="24"/>
              </w:rPr>
              <w:t>.3</w:t>
            </w:r>
          </w:p>
        </w:tc>
        <w:tc>
          <w:tcPr>
            <w:tcW w:w="7938" w:type="dxa"/>
          </w:tcPr>
          <w:p w:rsidR="003F68D8" w:rsidRPr="003F68D8" w:rsidRDefault="00532A3D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 xml:space="preserve">Расчет эталонного значения </w:t>
            </w:r>
            <w:proofErr w:type="spellStart"/>
            <w:r w:rsidRPr="00532A3D">
              <w:rPr>
                <w:sz w:val="24"/>
                <w:szCs w:val="24"/>
              </w:rPr>
              <w:t>SGUEc</w:t>
            </w:r>
            <w:proofErr w:type="spellEnd"/>
          </w:p>
        </w:tc>
        <w:tc>
          <w:tcPr>
            <w:tcW w:w="957" w:type="dxa"/>
          </w:tcPr>
          <w:p w:rsidR="003F68D8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4.4</w:t>
            </w:r>
          </w:p>
        </w:tc>
        <w:tc>
          <w:tcPr>
            <w:tcW w:w="7938" w:type="dxa"/>
          </w:tcPr>
          <w:p w:rsidR="003F68D8" w:rsidRPr="003F68D8" w:rsidRDefault="00532A3D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 xml:space="preserve">Расчет эталонного значения </w:t>
            </w:r>
            <w:proofErr w:type="spellStart"/>
            <w:r w:rsidRPr="00532A3D">
              <w:rPr>
                <w:sz w:val="24"/>
                <w:szCs w:val="24"/>
              </w:rPr>
              <w:t>SAEFc</w:t>
            </w:r>
            <w:proofErr w:type="spellEnd"/>
          </w:p>
        </w:tc>
        <w:tc>
          <w:tcPr>
            <w:tcW w:w="957" w:type="dxa"/>
          </w:tcPr>
          <w:p w:rsidR="003F68D8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4.5</w:t>
            </w:r>
          </w:p>
        </w:tc>
        <w:tc>
          <w:tcPr>
            <w:tcW w:w="7938" w:type="dxa"/>
          </w:tcPr>
          <w:p w:rsidR="003F68D8" w:rsidRPr="003F68D8" w:rsidRDefault="00532A3D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Расчет эталонного годового значения потребности в охлаждении (</w:t>
            </w:r>
            <w:proofErr w:type="spellStart"/>
            <w:r w:rsidRPr="00532A3D">
              <w:rPr>
                <w:sz w:val="24"/>
                <w:szCs w:val="24"/>
              </w:rPr>
              <w:t>Q_refc</w:t>
            </w:r>
            <w:proofErr w:type="spellEnd"/>
            <w:r w:rsidRPr="00532A3D">
              <w:rPr>
                <w:sz w:val="24"/>
                <w:szCs w:val="24"/>
              </w:rPr>
              <w:t>)</w:t>
            </w:r>
          </w:p>
        </w:tc>
        <w:tc>
          <w:tcPr>
            <w:tcW w:w="957" w:type="dxa"/>
          </w:tcPr>
          <w:p w:rsidR="003F68D8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4.6</w:t>
            </w:r>
          </w:p>
        </w:tc>
        <w:tc>
          <w:tcPr>
            <w:tcW w:w="7938" w:type="dxa"/>
          </w:tcPr>
          <w:p w:rsidR="003F68D8" w:rsidRPr="003F68D8" w:rsidRDefault="00532A3D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 xml:space="preserve">Расчет эталонного значения </w:t>
            </w:r>
            <w:proofErr w:type="spellStart"/>
            <w:r w:rsidRPr="00532A3D">
              <w:rPr>
                <w:sz w:val="24"/>
                <w:szCs w:val="24"/>
              </w:rPr>
              <w:t>SAEFcon</w:t>
            </w:r>
            <w:proofErr w:type="spellEnd"/>
          </w:p>
        </w:tc>
        <w:tc>
          <w:tcPr>
            <w:tcW w:w="957" w:type="dxa"/>
          </w:tcPr>
          <w:p w:rsidR="003F68D8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4.7</w:t>
            </w:r>
          </w:p>
        </w:tc>
        <w:tc>
          <w:tcPr>
            <w:tcW w:w="7938" w:type="dxa"/>
          </w:tcPr>
          <w:p w:rsidR="003F68D8" w:rsidRPr="003F68D8" w:rsidRDefault="00532A3D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 xml:space="preserve">Порядок определения значений </w:t>
            </w:r>
            <w:proofErr w:type="spellStart"/>
            <w:r w:rsidRPr="00532A3D">
              <w:rPr>
                <w:sz w:val="24"/>
                <w:szCs w:val="24"/>
              </w:rPr>
              <w:t>GUEc</w:t>
            </w:r>
            <w:proofErr w:type="spellEnd"/>
            <w:r w:rsidRPr="00532A3D">
              <w:rPr>
                <w:sz w:val="24"/>
                <w:szCs w:val="24"/>
              </w:rPr>
              <w:t>/</w:t>
            </w:r>
            <w:proofErr w:type="spellStart"/>
            <w:r w:rsidRPr="00532A3D">
              <w:rPr>
                <w:sz w:val="24"/>
                <w:szCs w:val="24"/>
              </w:rPr>
              <w:t>AEFc</w:t>
            </w:r>
            <w:proofErr w:type="spellEnd"/>
          </w:p>
        </w:tc>
        <w:tc>
          <w:tcPr>
            <w:tcW w:w="957" w:type="dxa"/>
          </w:tcPr>
          <w:p w:rsidR="003F68D8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3F68D8" w:rsidRPr="003F68D8" w:rsidRDefault="00532A3D" w:rsidP="003F68D8">
            <w:pPr>
              <w:ind w:firstLine="0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Методы расчета эталонных сезонных эксплуатационных показателей в режиме обогрева</w:t>
            </w:r>
          </w:p>
        </w:tc>
        <w:tc>
          <w:tcPr>
            <w:tcW w:w="957" w:type="dxa"/>
          </w:tcPr>
          <w:p w:rsidR="003F68D8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F68D8" w:rsidTr="00F90BD0">
        <w:tc>
          <w:tcPr>
            <w:tcW w:w="675" w:type="dxa"/>
          </w:tcPr>
          <w:p w:rsidR="003F68D8" w:rsidRPr="003F68D8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5.1</w:t>
            </w:r>
          </w:p>
        </w:tc>
        <w:tc>
          <w:tcPr>
            <w:tcW w:w="7938" w:type="dxa"/>
          </w:tcPr>
          <w:p w:rsidR="003F68D8" w:rsidRPr="003F68D8" w:rsidRDefault="00532A3D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Общие положения</w:t>
            </w:r>
          </w:p>
        </w:tc>
        <w:tc>
          <w:tcPr>
            <w:tcW w:w="957" w:type="dxa"/>
          </w:tcPr>
          <w:p w:rsidR="003F68D8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32A3D" w:rsidTr="00F90BD0">
        <w:tc>
          <w:tcPr>
            <w:tcW w:w="675" w:type="dxa"/>
          </w:tcPr>
          <w:p w:rsidR="00532A3D" w:rsidRPr="00532A3D" w:rsidRDefault="00532A3D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5.2</w:t>
            </w:r>
          </w:p>
        </w:tc>
        <w:tc>
          <w:tcPr>
            <w:tcW w:w="7938" w:type="dxa"/>
          </w:tcPr>
          <w:p w:rsidR="00532A3D" w:rsidRPr="00532A3D" w:rsidRDefault="00532A3D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Условия работы при частичной нагрузке</w:t>
            </w:r>
          </w:p>
        </w:tc>
        <w:tc>
          <w:tcPr>
            <w:tcW w:w="957" w:type="dxa"/>
          </w:tcPr>
          <w:p w:rsidR="00532A3D" w:rsidRPr="00532A3D" w:rsidRDefault="00532A3D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532A3D">
              <w:rPr>
                <w:sz w:val="24"/>
                <w:szCs w:val="24"/>
              </w:rPr>
              <w:t>8</w:t>
            </w:r>
          </w:p>
        </w:tc>
      </w:tr>
      <w:tr w:rsidR="00532A3D" w:rsidTr="00F90BD0">
        <w:tc>
          <w:tcPr>
            <w:tcW w:w="675" w:type="dxa"/>
          </w:tcPr>
          <w:p w:rsidR="00532A3D" w:rsidRPr="00532A3D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5.3</w:t>
            </w:r>
          </w:p>
        </w:tc>
        <w:tc>
          <w:tcPr>
            <w:tcW w:w="7938" w:type="dxa"/>
          </w:tcPr>
          <w:p w:rsidR="00532A3D" w:rsidRPr="00532A3D" w:rsidRDefault="00F90BD0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 xml:space="preserve">Расчет эталонного значения </w:t>
            </w:r>
            <w:proofErr w:type="spellStart"/>
            <w:r w:rsidRPr="00F90BD0">
              <w:rPr>
                <w:sz w:val="24"/>
                <w:szCs w:val="24"/>
              </w:rPr>
              <w:t>SPERh</w:t>
            </w:r>
            <w:proofErr w:type="spellEnd"/>
          </w:p>
        </w:tc>
        <w:tc>
          <w:tcPr>
            <w:tcW w:w="957" w:type="dxa"/>
          </w:tcPr>
          <w:p w:rsidR="00532A3D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532A3D" w:rsidTr="00F90BD0">
        <w:tc>
          <w:tcPr>
            <w:tcW w:w="675" w:type="dxa"/>
          </w:tcPr>
          <w:p w:rsidR="00532A3D" w:rsidRPr="00532A3D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5.4</w:t>
            </w:r>
          </w:p>
        </w:tc>
        <w:tc>
          <w:tcPr>
            <w:tcW w:w="7938" w:type="dxa"/>
          </w:tcPr>
          <w:p w:rsidR="00532A3D" w:rsidRPr="00532A3D" w:rsidRDefault="00F90BD0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 xml:space="preserve">Расчет эталонного значения </w:t>
            </w:r>
            <w:proofErr w:type="spellStart"/>
            <w:r w:rsidRPr="00F90BD0">
              <w:rPr>
                <w:sz w:val="24"/>
                <w:szCs w:val="24"/>
              </w:rPr>
              <w:t>SGUEh</w:t>
            </w:r>
            <w:proofErr w:type="spellEnd"/>
          </w:p>
        </w:tc>
        <w:tc>
          <w:tcPr>
            <w:tcW w:w="957" w:type="dxa"/>
          </w:tcPr>
          <w:p w:rsidR="00532A3D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532A3D" w:rsidTr="00F90BD0">
        <w:tc>
          <w:tcPr>
            <w:tcW w:w="675" w:type="dxa"/>
          </w:tcPr>
          <w:p w:rsidR="00532A3D" w:rsidRPr="00532A3D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5.5</w:t>
            </w:r>
          </w:p>
        </w:tc>
        <w:tc>
          <w:tcPr>
            <w:tcW w:w="7938" w:type="dxa"/>
          </w:tcPr>
          <w:p w:rsidR="00532A3D" w:rsidRPr="00532A3D" w:rsidRDefault="00F90BD0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 xml:space="preserve">Расчет эталонного значения </w:t>
            </w:r>
            <w:proofErr w:type="spellStart"/>
            <w:r w:rsidRPr="00F90BD0">
              <w:rPr>
                <w:sz w:val="24"/>
                <w:szCs w:val="24"/>
              </w:rPr>
              <w:t>SAEFh</w:t>
            </w:r>
            <w:proofErr w:type="spellEnd"/>
          </w:p>
        </w:tc>
        <w:tc>
          <w:tcPr>
            <w:tcW w:w="957" w:type="dxa"/>
          </w:tcPr>
          <w:p w:rsidR="00532A3D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532A3D" w:rsidTr="00F90BD0">
        <w:tc>
          <w:tcPr>
            <w:tcW w:w="675" w:type="dxa"/>
          </w:tcPr>
          <w:p w:rsidR="00532A3D" w:rsidRPr="00532A3D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5.6</w:t>
            </w:r>
          </w:p>
        </w:tc>
        <w:tc>
          <w:tcPr>
            <w:tcW w:w="7938" w:type="dxa"/>
          </w:tcPr>
          <w:p w:rsidR="00532A3D" w:rsidRPr="00532A3D" w:rsidRDefault="00F90BD0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Расчет эталонного значения годовой тепловой нагрузки (</w:t>
            </w:r>
            <w:proofErr w:type="spellStart"/>
            <w:r w:rsidRPr="00F90BD0">
              <w:rPr>
                <w:sz w:val="24"/>
                <w:szCs w:val="24"/>
              </w:rPr>
              <w:t>Qrefh</w:t>
            </w:r>
            <w:proofErr w:type="spellEnd"/>
            <w:r w:rsidRPr="00F90BD0">
              <w:rPr>
                <w:sz w:val="24"/>
                <w:szCs w:val="24"/>
              </w:rPr>
              <w:t>)</w:t>
            </w:r>
          </w:p>
        </w:tc>
        <w:tc>
          <w:tcPr>
            <w:tcW w:w="957" w:type="dxa"/>
          </w:tcPr>
          <w:p w:rsidR="00532A3D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532A3D" w:rsidTr="00F90BD0">
        <w:tc>
          <w:tcPr>
            <w:tcW w:w="675" w:type="dxa"/>
          </w:tcPr>
          <w:p w:rsidR="00532A3D" w:rsidRPr="00532A3D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5.7</w:t>
            </w:r>
          </w:p>
        </w:tc>
        <w:tc>
          <w:tcPr>
            <w:tcW w:w="7938" w:type="dxa"/>
          </w:tcPr>
          <w:p w:rsidR="00532A3D" w:rsidRPr="00532A3D" w:rsidRDefault="00F90BD0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 xml:space="preserve">Расчет эталонного значения </w:t>
            </w:r>
            <w:proofErr w:type="spellStart"/>
            <w:r w:rsidRPr="00F90BD0">
              <w:rPr>
                <w:sz w:val="24"/>
                <w:szCs w:val="24"/>
              </w:rPr>
              <w:t>SAEFhon</w:t>
            </w:r>
            <w:proofErr w:type="spellEnd"/>
          </w:p>
        </w:tc>
        <w:tc>
          <w:tcPr>
            <w:tcW w:w="957" w:type="dxa"/>
          </w:tcPr>
          <w:p w:rsidR="00532A3D" w:rsidRPr="00532A3D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5.8</w:t>
            </w: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318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 xml:space="preserve">Порядок определения значений </w:t>
            </w:r>
            <w:proofErr w:type="spellStart"/>
            <w:r w:rsidRPr="00F90BD0">
              <w:rPr>
                <w:sz w:val="24"/>
                <w:szCs w:val="24"/>
              </w:rPr>
              <w:t>GUEh</w:t>
            </w:r>
            <w:proofErr w:type="spellEnd"/>
            <w:r w:rsidRPr="00F90BD0">
              <w:rPr>
                <w:sz w:val="24"/>
                <w:szCs w:val="24"/>
              </w:rPr>
              <w:t>/</w:t>
            </w:r>
            <w:proofErr w:type="spellStart"/>
            <w:r w:rsidRPr="00F90BD0">
              <w:rPr>
                <w:sz w:val="24"/>
                <w:szCs w:val="24"/>
              </w:rPr>
              <w:t>AEFh</w:t>
            </w:r>
            <w:proofErr w:type="spellEnd"/>
          </w:p>
        </w:tc>
        <w:tc>
          <w:tcPr>
            <w:tcW w:w="957" w:type="dxa"/>
          </w:tcPr>
          <w:p w:rsidR="00F90BD0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0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Приложение A</w:t>
            </w:r>
            <w:r>
              <w:rPr>
                <w:sz w:val="24"/>
                <w:szCs w:val="24"/>
              </w:rPr>
              <w:t xml:space="preserve"> </w:t>
            </w:r>
            <w:r w:rsidRPr="00F90BD0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F90BD0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0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Приложение B</w:t>
            </w:r>
            <w:r>
              <w:rPr>
                <w:sz w:val="24"/>
                <w:szCs w:val="24"/>
              </w:rPr>
              <w:t xml:space="preserve"> </w:t>
            </w:r>
            <w:r w:rsidRPr="00F90BD0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F90BD0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0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Приложение C</w:t>
            </w:r>
            <w:r w:rsidRPr="00F90BD0">
              <w:rPr>
                <w:i/>
                <w:sz w:val="24"/>
                <w:szCs w:val="24"/>
              </w:rPr>
              <w:t xml:space="preserve"> (обязательное) </w:t>
            </w:r>
          </w:p>
        </w:tc>
        <w:tc>
          <w:tcPr>
            <w:tcW w:w="957" w:type="dxa"/>
          </w:tcPr>
          <w:p w:rsidR="00F90BD0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0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Приложение D</w:t>
            </w:r>
            <w:r>
              <w:rPr>
                <w:sz w:val="24"/>
                <w:szCs w:val="24"/>
              </w:rPr>
              <w:t xml:space="preserve"> </w:t>
            </w:r>
            <w:r w:rsidRPr="00F90BD0">
              <w:rPr>
                <w:i/>
                <w:sz w:val="24"/>
                <w:szCs w:val="24"/>
              </w:rPr>
              <w:t>(обязательное)</w:t>
            </w:r>
          </w:p>
        </w:tc>
        <w:tc>
          <w:tcPr>
            <w:tcW w:w="957" w:type="dxa"/>
          </w:tcPr>
          <w:p w:rsidR="00F90BD0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0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Приложение E</w:t>
            </w:r>
            <w:r>
              <w:rPr>
                <w:sz w:val="24"/>
                <w:szCs w:val="24"/>
              </w:rPr>
              <w:t xml:space="preserve"> </w:t>
            </w:r>
            <w:r w:rsidRPr="00F90BD0">
              <w:rPr>
                <w:i/>
                <w:sz w:val="24"/>
                <w:szCs w:val="24"/>
              </w:rPr>
              <w:t>(обязательное)</w:t>
            </w:r>
          </w:p>
        </w:tc>
        <w:tc>
          <w:tcPr>
            <w:tcW w:w="957" w:type="dxa"/>
          </w:tcPr>
          <w:p w:rsidR="00F90BD0" w:rsidRDefault="00F90BD0" w:rsidP="00F90BD0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0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Приложение F</w:t>
            </w:r>
            <w:r>
              <w:rPr>
                <w:sz w:val="24"/>
                <w:szCs w:val="24"/>
              </w:rPr>
              <w:t xml:space="preserve"> </w:t>
            </w:r>
            <w:r w:rsidRPr="00F90BD0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F90BD0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0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Приложение G</w:t>
            </w:r>
            <w:r>
              <w:rPr>
                <w:sz w:val="24"/>
                <w:szCs w:val="24"/>
              </w:rPr>
              <w:t xml:space="preserve"> </w:t>
            </w:r>
            <w:r w:rsidRPr="00F90BD0">
              <w:rPr>
                <w:i/>
                <w:sz w:val="24"/>
                <w:szCs w:val="24"/>
              </w:rPr>
              <w:t>(обязательное)</w:t>
            </w:r>
          </w:p>
        </w:tc>
        <w:tc>
          <w:tcPr>
            <w:tcW w:w="957" w:type="dxa"/>
          </w:tcPr>
          <w:p w:rsidR="00F90BD0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0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Приложение ZA</w:t>
            </w:r>
            <w:r>
              <w:rPr>
                <w:sz w:val="24"/>
                <w:szCs w:val="24"/>
              </w:rPr>
              <w:t xml:space="preserve"> </w:t>
            </w:r>
            <w:r w:rsidRPr="00F90BD0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F90BD0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0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Приложение ZB</w:t>
            </w:r>
            <w:r>
              <w:rPr>
                <w:sz w:val="24"/>
                <w:szCs w:val="24"/>
              </w:rPr>
              <w:t xml:space="preserve"> </w:t>
            </w:r>
            <w:r w:rsidRPr="00F90BD0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F90BD0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0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Библиография</w:t>
            </w:r>
          </w:p>
        </w:tc>
        <w:tc>
          <w:tcPr>
            <w:tcW w:w="957" w:type="dxa"/>
          </w:tcPr>
          <w:p w:rsidR="00F90BD0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F90BD0" w:rsidTr="00F90BD0">
        <w:tc>
          <w:tcPr>
            <w:tcW w:w="675" w:type="dxa"/>
          </w:tcPr>
          <w:p w:rsidR="00F90BD0" w:rsidRPr="00F90BD0" w:rsidRDefault="00F90BD0" w:rsidP="003F68D8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F90BD0" w:rsidRPr="00F90BD0" w:rsidRDefault="00F90BD0" w:rsidP="00F90BD0">
            <w:pPr>
              <w:ind w:firstLine="0"/>
              <w:outlineLvl w:val="0"/>
              <w:rPr>
                <w:sz w:val="24"/>
                <w:szCs w:val="24"/>
              </w:rPr>
            </w:pPr>
            <w:r w:rsidRPr="00F90BD0">
              <w:rPr>
                <w:sz w:val="24"/>
                <w:szCs w:val="24"/>
              </w:rPr>
              <w:t>Приложение B.A</w:t>
            </w:r>
            <w:r>
              <w:rPr>
                <w:sz w:val="24"/>
                <w:szCs w:val="24"/>
              </w:rPr>
              <w:t xml:space="preserve"> </w:t>
            </w:r>
            <w:r w:rsidRPr="00F90BD0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F90BD0" w:rsidRDefault="00F90BD0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</w:tbl>
    <w:p w:rsidR="003F68D8" w:rsidRPr="003F68D8" w:rsidRDefault="003F68D8" w:rsidP="00C367AA">
      <w:pP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</w:p>
    <w:sectPr w:rsidR="003F68D8" w:rsidRPr="003F68D8" w:rsidSect="00982F50"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7AD" w:rsidRDefault="00F967AD" w:rsidP="00D403F4">
      <w:r>
        <w:separator/>
      </w:r>
    </w:p>
  </w:endnote>
  <w:endnote w:type="continuationSeparator" w:id="0">
    <w:p w:rsidR="00F967AD" w:rsidRDefault="00F967AD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C367AA">
      <w:rPr>
        <w:rStyle w:val="a5"/>
        <w:noProof/>
        <w:sz w:val="24"/>
        <w:szCs w:val="24"/>
      </w:rPr>
      <w:t>4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820963"/>
      <w:docPartObj>
        <w:docPartGallery w:val="Page Numbers (Bottom of Page)"/>
        <w:docPartUnique/>
      </w:docPartObj>
    </w:sdtPr>
    <w:sdtEndPr/>
    <w:sdtContent>
      <w:p w:rsidR="00D33D6A" w:rsidRPr="00982F50" w:rsidRDefault="00982F50" w:rsidP="00982F50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DAD">
          <w:rPr>
            <w:noProof/>
          </w:rPr>
          <w:t>II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7AD" w:rsidRDefault="00F967AD" w:rsidP="00D403F4">
      <w:r>
        <w:separator/>
      </w:r>
    </w:p>
  </w:footnote>
  <w:footnote w:type="continuationSeparator" w:id="0">
    <w:p w:rsidR="00F967AD" w:rsidRDefault="00F967AD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6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 w:rsidRPr="0016205C">
      <w:rPr>
        <w:b/>
        <w:sz w:val="24"/>
      </w:rPr>
      <w:t xml:space="preserve"> EN 12309-4</w:t>
    </w:r>
  </w:p>
  <w:p w:rsidR="00D33D6A" w:rsidRPr="00F90BD0" w:rsidRDefault="00C367AA" w:rsidP="00C367AA">
    <w:pPr>
      <w:pStyle w:val="a6"/>
      <w:jc w:val="right"/>
      <w:rPr>
        <w:i/>
        <w:sz w:val="24"/>
      </w:rPr>
    </w:pPr>
    <w:r w:rsidRPr="00F90BD0"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B5AD6" w:rsidRDefault="00F967AD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6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>
      <w:rPr>
        <w:b/>
        <w:sz w:val="24"/>
      </w:rPr>
      <w:t xml:space="preserve"> </w:t>
    </w:r>
    <w:r w:rsidR="004D0770">
      <w:rPr>
        <w:b/>
        <w:sz w:val="24"/>
      </w:rPr>
      <w:t>EN 12309-6</w:t>
    </w:r>
  </w:p>
  <w:p w:rsidR="00D33D6A" w:rsidRPr="00F90BD0" w:rsidRDefault="00C367AA" w:rsidP="00C367AA">
    <w:pPr>
      <w:pStyle w:val="a6"/>
      <w:rPr>
        <w:i/>
        <w:sz w:val="24"/>
      </w:rPr>
    </w:pPr>
    <w:r w:rsidRPr="00F90BD0">
      <w:rPr>
        <w:i/>
        <w:sz w:val="24"/>
      </w:rPr>
      <w:t>(проект, редакция 1)</w:t>
    </w:r>
    <w:r w:rsidR="00F126AE" w:rsidRPr="00F90BD0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F4"/>
    <w:rsid w:val="000F48E8"/>
    <w:rsid w:val="0016205C"/>
    <w:rsid w:val="001D42ED"/>
    <w:rsid w:val="002D0D71"/>
    <w:rsid w:val="00333DAD"/>
    <w:rsid w:val="003F68D8"/>
    <w:rsid w:val="004A4773"/>
    <w:rsid w:val="004D0770"/>
    <w:rsid w:val="004F0251"/>
    <w:rsid w:val="004F3919"/>
    <w:rsid w:val="00532A3D"/>
    <w:rsid w:val="00691A3F"/>
    <w:rsid w:val="00982F50"/>
    <w:rsid w:val="00986081"/>
    <w:rsid w:val="00C367AA"/>
    <w:rsid w:val="00D403F4"/>
    <w:rsid w:val="00F126AE"/>
    <w:rsid w:val="00F90BD0"/>
    <w:rsid w:val="00F9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3F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3F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Айжан Танирбердина</cp:lastModifiedBy>
  <cp:revision>10</cp:revision>
  <dcterms:created xsi:type="dcterms:W3CDTF">2020-02-12T03:23:00Z</dcterms:created>
  <dcterms:modified xsi:type="dcterms:W3CDTF">2020-03-11T12:31:00Z</dcterms:modified>
</cp:coreProperties>
</file>